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DD473" w14:textId="77C37C72" w:rsidR="00792806" w:rsidRDefault="007C59ED" w:rsidP="007C5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9ED">
        <w:rPr>
          <w:rFonts w:ascii="Times New Roman" w:hAnsi="Times New Roman" w:cs="Times New Roman"/>
          <w:b/>
          <w:sz w:val="24"/>
          <w:szCs w:val="24"/>
        </w:rPr>
        <w:t>Коллекторам запрещено передавать долги по ЖКХ</w:t>
      </w:r>
    </w:p>
    <w:p w14:paraId="218A2271" w14:textId="77777777" w:rsidR="007C59ED" w:rsidRPr="007C59ED" w:rsidRDefault="007C59ED" w:rsidP="007C5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CACFB2" w14:textId="77777777" w:rsidR="007C59ED" w:rsidRPr="007C59ED" w:rsidRDefault="007C59ED" w:rsidP="007C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9ED">
        <w:rPr>
          <w:rFonts w:ascii="Times New Roman" w:hAnsi="Times New Roman" w:cs="Times New Roman"/>
          <w:sz w:val="24"/>
          <w:szCs w:val="24"/>
        </w:rPr>
        <w:t>Федеральным законом от 26.07.2019 № 214-ФЗ внесены изменения в статьи 155 и 162 Жилищного кодекса Российской Федерации и статью 1 Федерального закона «О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«О микрофинансовой деятельности и микрофинансовых организациях».</w:t>
      </w:r>
    </w:p>
    <w:p w14:paraId="678E96BC" w14:textId="77777777" w:rsidR="007C59ED" w:rsidRPr="007C59ED" w:rsidRDefault="007C59ED" w:rsidP="007C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39978A" w14:textId="77777777" w:rsidR="007C59ED" w:rsidRPr="007C59ED" w:rsidRDefault="007C59ED" w:rsidP="007C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9ED">
        <w:rPr>
          <w:rFonts w:ascii="Times New Roman" w:hAnsi="Times New Roman" w:cs="Times New Roman"/>
          <w:sz w:val="24"/>
          <w:szCs w:val="24"/>
        </w:rPr>
        <w:t>Согласно установленным требованиям управляющая организация, товарищество собственников жилья, ресурсоснабжающая организация, региональный оператор по обращению с твердыми коммунальными отходами, которым вносится плата за жилое помещение и коммунальные услуги, не вправе уступать право (требование) по возврату просроченной задолженности по внесению платы за жилое помещение и коммунальные услуги третьим лицам, в том числе кредитным организациям или лицам, осуществляющим деятельность по возврату просроченной задолженности физических лиц. Заключенный в таком случае договор об уступке права (требования) по возврату просроченной задолженности по внесению платы за жилое помещение и коммунальные услуги считается ничтожным.</w:t>
      </w:r>
    </w:p>
    <w:p w14:paraId="107782E5" w14:textId="77777777" w:rsidR="007C59ED" w:rsidRPr="007C59ED" w:rsidRDefault="007C59ED" w:rsidP="007C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42444E" w14:textId="53E54509" w:rsidR="007C59ED" w:rsidRPr="007C59ED" w:rsidRDefault="007C59ED" w:rsidP="007C5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59ED">
        <w:rPr>
          <w:rFonts w:ascii="Times New Roman" w:hAnsi="Times New Roman" w:cs="Times New Roman"/>
          <w:sz w:val="24"/>
          <w:szCs w:val="24"/>
        </w:rPr>
        <w:t>Право требования можно уступать только профессиональным участникам рынка ЖКХ. При этом, законодателем установлено требование об обязательном письменном уведомлении собственника помещения в многоквартирном доме и нанимателя жилого помещения, у которых имеется задолженность по внесению платы за жилое помещение и коммунальные услуги, об уступке права (требования) в течение десяти рабочих дней со дня заключения такого договора.</w:t>
      </w:r>
      <w:bookmarkStart w:id="0" w:name="_GoBack"/>
      <w:bookmarkEnd w:id="0"/>
    </w:p>
    <w:sectPr w:rsidR="007C59ED" w:rsidRPr="007C5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7E0"/>
    <w:rsid w:val="000F0ACB"/>
    <w:rsid w:val="001744A0"/>
    <w:rsid w:val="006B07E0"/>
    <w:rsid w:val="007C59ED"/>
    <w:rsid w:val="00AC2295"/>
    <w:rsid w:val="00C2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D23C0"/>
  <w15:chartTrackingRefBased/>
  <w15:docId w15:val="{11B0A77B-4CB3-4484-BBA1-90FF2307F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Murad Shikhahmedov</dc:creator>
  <cp:keywords/>
  <dc:description/>
  <cp:lastModifiedBy>Murad Shikhahmedov</cp:lastModifiedBy>
  <cp:revision>2</cp:revision>
  <dcterms:created xsi:type="dcterms:W3CDTF">2022-08-18T15:37:00Z</dcterms:created>
  <dcterms:modified xsi:type="dcterms:W3CDTF">2022-08-18T15:38:00Z</dcterms:modified>
</cp:coreProperties>
</file>